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7315" w14:textId="77777777" w:rsidR="00A17D9E" w:rsidRDefault="00A17D9E" w:rsidP="00A17D9E">
      <w:pPr>
        <w:autoSpaceDE w:val="0"/>
        <w:autoSpaceDN w:val="0"/>
        <w:adjustRightInd w:val="0"/>
        <w:rPr>
          <w:rFonts w:ascii="Arial Narrow" w:eastAsiaTheme="minorHAnsi" w:hAnsi="Arial Narrow" w:cs="Source Sans Pro"/>
          <w:sz w:val="20"/>
          <w:szCs w:val="20"/>
        </w:rPr>
      </w:pPr>
    </w:p>
    <w:p w14:paraId="28F1ED84" w14:textId="53663760" w:rsidR="00014C76" w:rsidRDefault="00014C76" w:rsidP="00014C76">
      <w:pPr>
        <w:autoSpaceDE w:val="0"/>
        <w:autoSpaceDN w:val="0"/>
        <w:adjustRightInd w:val="0"/>
        <w:rPr>
          <w:rFonts w:ascii="Arial" w:eastAsiaTheme="minorHAnsi" w:hAnsi="Arial" w:cs="Arial"/>
          <w:sz w:val="28"/>
          <w:szCs w:val="28"/>
        </w:rPr>
      </w:pPr>
      <w:r>
        <w:rPr>
          <w:rFonts w:ascii="Arial" w:eastAsiaTheme="minorHAnsi" w:hAnsi="Arial" w:cs="Arial"/>
          <w:sz w:val="28"/>
          <w:szCs w:val="28"/>
        </w:rPr>
        <w:t>Sample SEPAC Self-Assessment</w:t>
      </w:r>
    </w:p>
    <w:p w14:paraId="6431AA88" w14:textId="77777777" w:rsidR="00014C76" w:rsidRPr="00803421" w:rsidRDefault="00014C76" w:rsidP="00014C76">
      <w:pPr>
        <w:autoSpaceDE w:val="0"/>
        <w:autoSpaceDN w:val="0"/>
        <w:adjustRightInd w:val="0"/>
        <w:rPr>
          <w:rFonts w:ascii="Arial" w:eastAsiaTheme="minorHAnsi" w:hAnsi="Arial" w:cs="Arial"/>
          <w:sz w:val="20"/>
          <w:szCs w:val="20"/>
        </w:rPr>
      </w:pPr>
    </w:p>
    <w:p w14:paraId="60680B7B" w14:textId="77777777" w:rsidR="00A17D9E" w:rsidRDefault="00014C76" w:rsidP="00014C76">
      <w:pPr>
        <w:autoSpaceDE w:val="0"/>
        <w:autoSpaceDN w:val="0"/>
        <w:adjustRightInd w:val="0"/>
        <w:rPr>
          <w:rFonts w:ascii="Arial Narrow" w:eastAsiaTheme="minorHAnsi" w:hAnsi="Arial Narrow" w:cs="Source Sans Pro"/>
          <w:sz w:val="20"/>
          <w:szCs w:val="20"/>
        </w:rPr>
      </w:pPr>
      <w:r w:rsidRPr="00014C76">
        <w:rPr>
          <w:rFonts w:ascii="Arial Narrow" w:eastAsiaTheme="minorHAnsi" w:hAnsi="Arial Narrow" w:cs="Source Sans Pro"/>
          <w:sz w:val="20"/>
          <w:szCs w:val="20"/>
        </w:rPr>
        <w:t>The following form can be used by SEPAC members and the director of special education to get an impression of how well the SEPAC is doing. Each member and director of special education should complete the form about four weeks before the meeting at which the results will be reviewed. Ideally, a subcommittee of the SEPAC will receive the completed forms, collate the results, and write a report indicating the number of respondents who rated the SEPAC for each of the 12 considerations.</w:t>
      </w:r>
    </w:p>
    <w:p w14:paraId="128D52FD" w14:textId="77777777" w:rsidR="00014C76" w:rsidRDefault="00014C76" w:rsidP="00014C76">
      <w:pPr>
        <w:autoSpaceDE w:val="0"/>
        <w:autoSpaceDN w:val="0"/>
        <w:adjustRightInd w:val="0"/>
        <w:rPr>
          <w:rFonts w:ascii="Arial Narrow" w:eastAsiaTheme="minorHAnsi" w:hAnsi="Arial Narrow" w:cs="Source Sans Pro"/>
          <w:sz w:val="20"/>
          <w:szCs w:val="20"/>
        </w:rPr>
      </w:pPr>
    </w:p>
    <w:tbl>
      <w:tblPr>
        <w:tblStyle w:val="TableGrid"/>
        <w:tblW w:w="0" w:type="auto"/>
        <w:tblLayout w:type="fixed"/>
        <w:tblLook w:val="04A0" w:firstRow="1" w:lastRow="0" w:firstColumn="1" w:lastColumn="0" w:noHBand="0" w:noVBand="1"/>
      </w:tblPr>
      <w:tblGrid>
        <w:gridCol w:w="4225"/>
        <w:gridCol w:w="1350"/>
        <w:gridCol w:w="1350"/>
        <w:gridCol w:w="1350"/>
        <w:gridCol w:w="1350"/>
        <w:gridCol w:w="1350"/>
        <w:gridCol w:w="2940"/>
      </w:tblGrid>
      <w:tr w:rsidR="00014C76" w14:paraId="7986A1DE" w14:textId="77777777" w:rsidTr="001C5C98">
        <w:trPr>
          <w:trHeight w:val="899"/>
        </w:trPr>
        <w:tc>
          <w:tcPr>
            <w:tcW w:w="4225" w:type="dxa"/>
            <w:shd w:val="clear" w:color="auto" w:fill="D9D9D9" w:themeFill="background1" w:themeFillShade="D9"/>
            <w:vAlign w:val="center"/>
          </w:tcPr>
          <w:p w14:paraId="52B57D90" w14:textId="77777777" w:rsidR="00014C76" w:rsidRDefault="00014C76" w:rsidP="00014C76">
            <w:pPr>
              <w:autoSpaceDE w:val="0"/>
              <w:autoSpaceDN w:val="0"/>
              <w:adjustRightInd w:val="0"/>
              <w:jc w:val="center"/>
              <w:rPr>
                <w:rFonts w:ascii="Arial Narrow" w:eastAsiaTheme="minorHAnsi" w:hAnsi="Arial Narrow" w:cs="Source Sans Pro"/>
                <w:sz w:val="20"/>
                <w:szCs w:val="20"/>
              </w:rPr>
            </w:pPr>
            <w:r>
              <w:rPr>
                <w:rFonts w:ascii="Arial Narrow" w:eastAsiaTheme="minorHAnsi" w:hAnsi="Arial Narrow" w:cs="Source Sans Pro"/>
                <w:sz w:val="20"/>
                <w:szCs w:val="20"/>
              </w:rPr>
              <w:t>Considerations</w:t>
            </w:r>
          </w:p>
        </w:tc>
        <w:tc>
          <w:tcPr>
            <w:tcW w:w="1350" w:type="dxa"/>
            <w:shd w:val="clear" w:color="auto" w:fill="D9D9D9" w:themeFill="background1" w:themeFillShade="D9"/>
            <w:vAlign w:val="center"/>
          </w:tcPr>
          <w:p w14:paraId="179EEC5C" w14:textId="77777777" w:rsidR="00014C76" w:rsidRPr="00014C76" w:rsidRDefault="00014C76" w:rsidP="00014C76">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5</w:t>
            </w:r>
          </w:p>
          <w:p w14:paraId="46DE403E" w14:textId="77777777" w:rsidR="00014C76" w:rsidRPr="00014C76" w:rsidRDefault="00014C76" w:rsidP="00014C76">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Strongly</w:t>
            </w:r>
          </w:p>
          <w:p w14:paraId="5753548D" w14:textId="77777777" w:rsidR="00014C76" w:rsidRDefault="00014C76" w:rsidP="00014C76">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Agree</w:t>
            </w:r>
          </w:p>
        </w:tc>
        <w:tc>
          <w:tcPr>
            <w:tcW w:w="1350" w:type="dxa"/>
            <w:shd w:val="clear" w:color="auto" w:fill="D9D9D9" w:themeFill="background1" w:themeFillShade="D9"/>
            <w:vAlign w:val="center"/>
          </w:tcPr>
          <w:p w14:paraId="32DF90BF" w14:textId="77777777" w:rsidR="00014C76" w:rsidRPr="00014C76" w:rsidRDefault="00014C76" w:rsidP="00014C76">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4</w:t>
            </w:r>
          </w:p>
          <w:p w14:paraId="45C0BBF7" w14:textId="77777777" w:rsidR="00014C76" w:rsidRDefault="00014C76" w:rsidP="00014C76">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Agree</w:t>
            </w:r>
          </w:p>
        </w:tc>
        <w:tc>
          <w:tcPr>
            <w:tcW w:w="1350" w:type="dxa"/>
            <w:shd w:val="clear" w:color="auto" w:fill="D9D9D9" w:themeFill="background1" w:themeFillShade="D9"/>
            <w:vAlign w:val="center"/>
          </w:tcPr>
          <w:p w14:paraId="0DF7BEA3" w14:textId="77777777" w:rsidR="00014C76" w:rsidRPr="00014C76" w:rsidRDefault="00014C76" w:rsidP="00014C76">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3</w:t>
            </w:r>
          </w:p>
          <w:p w14:paraId="745926C3" w14:textId="77777777" w:rsidR="00014C76" w:rsidRDefault="00014C76" w:rsidP="00014C76">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Neutral</w:t>
            </w:r>
          </w:p>
        </w:tc>
        <w:tc>
          <w:tcPr>
            <w:tcW w:w="1350" w:type="dxa"/>
            <w:shd w:val="clear" w:color="auto" w:fill="D9D9D9" w:themeFill="background1" w:themeFillShade="D9"/>
            <w:vAlign w:val="center"/>
          </w:tcPr>
          <w:p w14:paraId="1B3105D9" w14:textId="77777777" w:rsidR="00014C76" w:rsidRPr="00014C76" w:rsidRDefault="00014C76" w:rsidP="00014C76">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2</w:t>
            </w:r>
          </w:p>
          <w:p w14:paraId="42BA04D0" w14:textId="77777777" w:rsidR="00014C76" w:rsidRDefault="00014C76" w:rsidP="00014C76">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Disagree</w:t>
            </w:r>
          </w:p>
        </w:tc>
        <w:tc>
          <w:tcPr>
            <w:tcW w:w="1350" w:type="dxa"/>
            <w:shd w:val="clear" w:color="auto" w:fill="D9D9D9" w:themeFill="background1" w:themeFillShade="D9"/>
            <w:vAlign w:val="center"/>
          </w:tcPr>
          <w:p w14:paraId="75577521" w14:textId="77777777" w:rsidR="00014C76" w:rsidRPr="00014C76" w:rsidRDefault="00014C76" w:rsidP="00014C76">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1</w:t>
            </w:r>
          </w:p>
          <w:p w14:paraId="37355D76" w14:textId="77777777" w:rsidR="00014C76" w:rsidRPr="00014C76" w:rsidRDefault="00014C76" w:rsidP="00014C76">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Strongly</w:t>
            </w:r>
          </w:p>
          <w:p w14:paraId="154F560E" w14:textId="77777777" w:rsidR="00014C76" w:rsidRDefault="00014C76" w:rsidP="00014C76">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Disagree</w:t>
            </w:r>
          </w:p>
        </w:tc>
        <w:tc>
          <w:tcPr>
            <w:tcW w:w="2940" w:type="dxa"/>
            <w:vMerge w:val="restart"/>
          </w:tcPr>
          <w:p w14:paraId="1FA516ED" w14:textId="77777777" w:rsidR="00014C76" w:rsidRPr="00455A1A" w:rsidRDefault="00014C76" w:rsidP="00014C76">
            <w:pPr>
              <w:pStyle w:val="Pa4"/>
              <w:spacing w:after="180"/>
              <w:rPr>
                <w:rFonts w:ascii="Arial Narrow" w:hAnsi="Arial Narrow" w:cs="Source Sans Pro"/>
                <w:sz w:val="20"/>
                <w:szCs w:val="20"/>
              </w:rPr>
            </w:pPr>
            <w:r w:rsidRPr="00455A1A">
              <w:rPr>
                <w:rStyle w:val="A4"/>
                <w:rFonts w:ascii="Arial Narrow" w:hAnsi="Arial Narrow"/>
                <w:color w:val="auto"/>
              </w:rPr>
              <w:t>From ‘A Guide for Local Special Education Advisory Committees in Virginia,’ © 2011. Used with permission from the Center for Family Involvement at the Partnership for People with Disabilities at the Virginia Commonwealth University. 804-828-3876. All rights reserved.</w:t>
            </w:r>
            <w:r w:rsidR="001C5C98" w:rsidRPr="00455A1A">
              <w:rPr>
                <w:rStyle w:val="A4"/>
                <w:rFonts w:ascii="Arial Narrow" w:hAnsi="Arial Narrow"/>
                <w:color w:val="auto"/>
              </w:rPr>
              <w:t xml:space="preserve"> </w:t>
            </w:r>
            <w:r w:rsidRPr="00455A1A">
              <w:rPr>
                <w:rStyle w:val="A4"/>
                <w:rFonts w:ascii="Arial Narrow" w:hAnsi="Arial Narrow"/>
                <w:color w:val="auto"/>
              </w:rPr>
              <w:t>http://www.doe.virginia.gov/boe/committees_advisory/special_ed/local_sped_advisory_committees/index.shtml</w:t>
            </w:r>
          </w:p>
          <w:p w14:paraId="1B6D52A6" w14:textId="77777777" w:rsidR="00014C76" w:rsidRPr="00455A1A" w:rsidRDefault="00014C76" w:rsidP="00014C76">
            <w:pPr>
              <w:autoSpaceDE w:val="0"/>
              <w:autoSpaceDN w:val="0"/>
              <w:adjustRightInd w:val="0"/>
              <w:rPr>
                <w:rStyle w:val="A5"/>
                <w:rFonts w:ascii="Arial Narrow" w:hAnsi="Arial Narrow"/>
                <w:color w:val="auto"/>
                <w:sz w:val="16"/>
                <w:szCs w:val="16"/>
              </w:rPr>
            </w:pPr>
          </w:p>
          <w:p w14:paraId="4C0867E5" w14:textId="77777777" w:rsidR="00014C76" w:rsidRPr="00014C76" w:rsidRDefault="00014C76" w:rsidP="00014C76">
            <w:pPr>
              <w:autoSpaceDE w:val="0"/>
              <w:autoSpaceDN w:val="0"/>
              <w:adjustRightInd w:val="0"/>
              <w:rPr>
                <w:rFonts w:ascii="Arial Narrow" w:eastAsiaTheme="minorHAnsi" w:hAnsi="Arial Narrow" w:cs="Source Sans Pro"/>
                <w:sz w:val="20"/>
                <w:szCs w:val="20"/>
              </w:rPr>
            </w:pPr>
            <w:r w:rsidRPr="00455A1A">
              <w:rPr>
                <w:rStyle w:val="A5"/>
                <w:rFonts w:ascii="Arial Narrow" w:hAnsi="Arial Narrow"/>
                <w:color w:val="auto"/>
                <w:sz w:val="20"/>
                <w:szCs w:val="20"/>
              </w:rPr>
              <w:t>This page is excerpted from Advocacy in Action: A Guide to Local Special Education Parent Advisory Councils, produced under U.S. Department of Education, Office of Special Education Programs No. H328R130014 by Center for Parent Information and Resources. Permission to reprint this material is not necessary, however, the citation should be: Center for Parent Information and Resources (retrieval date). Advocacy in Action: A Guide to Local Special Education Parent Advisory Councils, Newark, NJ, Center for Parent Information &amp; Resources, 2019.</w:t>
            </w:r>
          </w:p>
        </w:tc>
      </w:tr>
      <w:tr w:rsidR="00014C76" w14:paraId="17B003B8" w14:textId="77777777" w:rsidTr="001C5C98">
        <w:trPr>
          <w:trHeight w:val="971"/>
        </w:trPr>
        <w:tc>
          <w:tcPr>
            <w:tcW w:w="4225" w:type="dxa"/>
          </w:tcPr>
          <w:p w14:paraId="3CFCAE25" w14:textId="13672E93" w:rsidR="00014C76" w:rsidRDefault="00014C76" w:rsidP="00690FEE">
            <w:pPr>
              <w:autoSpaceDE w:val="0"/>
              <w:autoSpaceDN w:val="0"/>
              <w:adjustRightInd w:val="0"/>
              <w:ind w:left="163" w:hanging="180"/>
              <w:rPr>
                <w:rFonts w:ascii="Arial Narrow" w:eastAsiaTheme="minorHAnsi" w:hAnsi="Arial Narrow" w:cs="Source Sans Pro"/>
                <w:sz w:val="20"/>
                <w:szCs w:val="20"/>
              </w:rPr>
            </w:pPr>
            <w:r w:rsidRPr="00014C76">
              <w:rPr>
                <w:rFonts w:ascii="Arial Narrow" w:eastAsiaTheme="minorHAnsi" w:hAnsi="Arial Narrow" w:cs="Source Sans Pro"/>
                <w:sz w:val="20"/>
                <w:szCs w:val="20"/>
              </w:rPr>
              <w:t>1. SEPAC members have full and common</w:t>
            </w:r>
            <w:r>
              <w:rPr>
                <w:rFonts w:ascii="Arial Narrow" w:eastAsiaTheme="minorHAnsi" w:hAnsi="Arial Narrow" w:cs="Source Sans Pro"/>
                <w:sz w:val="20"/>
                <w:szCs w:val="20"/>
              </w:rPr>
              <w:t xml:space="preserve"> </w:t>
            </w:r>
            <w:r w:rsidRPr="00014C76">
              <w:rPr>
                <w:rFonts w:ascii="Arial Narrow" w:eastAsiaTheme="minorHAnsi" w:hAnsi="Arial Narrow" w:cs="Source Sans Pro"/>
                <w:sz w:val="20"/>
                <w:szCs w:val="20"/>
              </w:rPr>
              <w:t>understanding of the functions, roles, and</w:t>
            </w:r>
            <w:r>
              <w:rPr>
                <w:rFonts w:ascii="Arial Narrow" w:eastAsiaTheme="minorHAnsi" w:hAnsi="Arial Narrow" w:cs="Source Sans Pro"/>
                <w:sz w:val="20"/>
                <w:szCs w:val="20"/>
              </w:rPr>
              <w:t xml:space="preserve"> </w:t>
            </w:r>
            <w:r w:rsidRPr="00014C76">
              <w:rPr>
                <w:rFonts w:ascii="Arial Narrow" w:eastAsiaTheme="minorHAnsi" w:hAnsi="Arial Narrow" w:cs="Source Sans Pro"/>
                <w:sz w:val="20"/>
                <w:szCs w:val="20"/>
              </w:rPr>
              <w:t>responsibilities of the SE</w:t>
            </w:r>
            <w:r w:rsidR="00690FEE">
              <w:rPr>
                <w:rFonts w:ascii="Arial Narrow" w:eastAsiaTheme="minorHAnsi" w:hAnsi="Arial Narrow" w:cs="Source Sans Pro"/>
                <w:sz w:val="20"/>
                <w:szCs w:val="20"/>
              </w:rPr>
              <w:t>P</w:t>
            </w:r>
            <w:r w:rsidRPr="00014C76">
              <w:rPr>
                <w:rFonts w:ascii="Arial Narrow" w:eastAsiaTheme="minorHAnsi" w:hAnsi="Arial Narrow" w:cs="Source Sans Pro"/>
                <w:sz w:val="20"/>
                <w:szCs w:val="20"/>
              </w:rPr>
              <w:t>AC.</w:t>
            </w:r>
          </w:p>
        </w:tc>
        <w:tc>
          <w:tcPr>
            <w:tcW w:w="1350" w:type="dxa"/>
          </w:tcPr>
          <w:p w14:paraId="44B19BE1"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6CB5E9CB"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19D6EF88"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65B005B4"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2CD7A74E"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2940" w:type="dxa"/>
            <w:vMerge/>
          </w:tcPr>
          <w:p w14:paraId="683A17CD" w14:textId="77777777" w:rsidR="00014C76" w:rsidRPr="00014C76" w:rsidRDefault="00014C76" w:rsidP="00014C76">
            <w:pPr>
              <w:autoSpaceDE w:val="0"/>
              <w:autoSpaceDN w:val="0"/>
              <w:adjustRightInd w:val="0"/>
              <w:rPr>
                <w:rFonts w:ascii="Arial Narrow" w:eastAsiaTheme="minorHAnsi" w:hAnsi="Arial Narrow" w:cs="Source Sans Pro"/>
                <w:sz w:val="20"/>
                <w:szCs w:val="20"/>
              </w:rPr>
            </w:pPr>
          </w:p>
        </w:tc>
      </w:tr>
      <w:tr w:rsidR="00014C76" w14:paraId="6FD389B1" w14:textId="77777777" w:rsidTr="001C5C98">
        <w:trPr>
          <w:trHeight w:val="899"/>
        </w:trPr>
        <w:tc>
          <w:tcPr>
            <w:tcW w:w="4225" w:type="dxa"/>
          </w:tcPr>
          <w:p w14:paraId="568B6111" w14:textId="77777777" w:rsidR="00014C76" w:rsidRDefault="00014C76" w:rsidP="00690FEE">
            <w:pPr>
              <w:autoSpaceDE w:val="0"/>
              <w:autoSpaceDN w:val="0"/>
              <w:adjustRightInd w:val="0"/>
              <w:ind w:left="163" w:hanging="180"/>
              <w:rPr>
                <w:rFonts w:ascii="Arial Narrow" w:eastAsiaTheme="minorHAnsi" w:hAnsi="Arial Narrow" w:cs="Source Sans Pro"/>
                <w:sz w:val="20"/>
                <w:szCs w:val="20"/>
              </w:rPr>
            </w:pPr>
            <w:r w:rsidRPr="00014C76">
              <w:rPr>
                <w:rFonts w:ascii="Arial Narrow" w:eastAsiaTheme="minorHAnsi" w:hAnsi="Arial Narrow" w:cs="Source Sans Pro"/>
                <w:sz w:val="20"/>
                <w:szCs w:val="20"/>
              </w:rPr>
              <w:t>2. The SEPAC has clear and easy to understand by-laws.</w:t>
            </w:r>
          </w:p>
        </w:tc>
        <w:tc>
          <w:tcPr>
            <w:tcW w:w="1350" w:type="dxa"/>
          </w:tcPr>
          <w:p w14:paraId="3C179DFF"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71150ACA"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4F4BC857"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29518D3F"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38A462FC"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2940" w:type="dxa"/>
            <w:vMerge/>
          </w:tcPr>
          <w:p w14:paraId="157620C3" w14:textId="77777777" w:rsidR="00014C76" w:rsidRPr="00014C76" w:rsidRDefault="00014C76" w:rsidP="00014C76">
            <w:pPr>
              <w:autoSpaceDE w:val="0"/>
              <w:autoSpaceDN w:val="0"/>
              <w:adjustRightInd w:val="0"/>
              <w:rPr>
                <w:rFonts w:ascii="Arial Narrow" w:eastAsiaTheme="minorHAnsi" w:hAnsi="Arial Narrow" w:cs="Source Sans Pro"/>
                <w:sz w:val="20"/>
                <w:szCs w:val="20"/>
              </w:rPr>
            </w:pPr>
          </w:p>
        </w:tc>
      </w:tr>
      <w:tr w:rsidR="00014C76" w14:paraId="7288DED8" w14:textId="77777777" w:rsidTr="001C5C98">
        <w:trPr>
          <w:trHeight w:val="980"/>
        </w:trPr>
        <w:tc>
          <w:tcPr>
            <w:tcW w:w="4225" w:type="dxa"/>
          </w:tcPr>
          <w:p w14:paraId="215635A0" w14:textId="77777777" w:rsidR="00014C76" w:rsidRDefault="00014C76" w:rsidP="00690FEE">
            <w:pPr>
              <w:autoSpaceDE w:val="0"/>
              <w:autoSpaceDN w:val="0"/>
              <w:adjustRightInd w:val="0"/>
              <w:ind w:left="163" w:hanging="180"/>
              <w:rPr>
                <w:rFonts w:ascii="Arial Narrow" w:eastAsiaTheme="minorHAnsi" w:hAnsi="Arial Narrow" w:cs="Source Sans Pro"/>
                <w:sz w:val="20"/>
                <w:szCs w:val="20"/>
              </w:rPr>
            </w:pPr>
            <w:r w:rsidRPr="00014C76">
              <w:rPr>
                <w:rFonts w:ascii="Arial Narrow" w:eastAsiaTheme="minorHAnsi" w:hAnsi="Arial Narrow" w:cs="Source Sans Pro"/>
                <w:sz w:val="20"/>
                <w:szCs w:val="20"/>
              </w:rPr>
              <w:t>3. The SEPAC has clear priorities based on objective</w:t>
            </w:r>
            <w:r>
              <w:rPr>
                <w:rFonts w:ascii="Arial Narrow" w:eastAsiaTheme="minorHAnsi" w:hAnsi="Arial Narrow" w:cs="Source Sans Pro"/>
                <w:sz w:val="20"/>
                <w:szCs w:val="20"/>
              </w:rPr>
              <w:t xml:space="preserve"> </w:t>
            </w:r>
            <w:r w:rsidRPr="00014C76">
              <w:rPr>
                <w:rFonts w:ascii="Arial Narrow" w:eastAsiaTheme="minorHAnsi" w:hAnsi="Arial Narrow" w:cs="Source Sans Pro"/>
                <w:sz w:val="20"/>
                <w:szCs w:val="20"/>
              </w:rPr>
              <w:t>assessment of needs.</w:t>
            </w:r>
          </w:p>
        </w:tc>
        <w:tc>
          <w:tcPr>
            <w:tcW w:w="1350" w:type="dxa"/>
          </w:tcPr>
          <w:p w14:paraId="03540B61"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4A4529F5"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5A676BCE"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4C9F9979"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21CF966B"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2940" w:type="dxa"/>
            <w:vMerge/>
          </w:tcPr>
          <w:p w14:paraId="33CA4A15" w14:textId="77777777" w:rsidR="00014C76" w:rsidRPr="00014C76" w:rsidRDefault="00014C76" w:rsidP="00014C76">
            <w:pPr>
              <w:autoSpaceDE w:val="0"/>
              <w:autoSpaceDN w:val="0"/>
              <w:adjustRightInd w:val="0"/>
              <w:rPr>
                <w:rFonts w:ascii="Arial Narrow" w:eastAsiaTheme="minorHAnsi" w:hAnsi="Arial Narrow" w:cs="Source Sans Pro"/>
                <w:sz w:val="20"/>
                <w:szCs w:val="20"/>
              </w:rPr>
            </w:pPr>
          </w:p>
        </w:tc>
      </w:tr>
      <w:tr w:rsidR="00014C76" w14:paraId="05772621" w14:textId="77777777" w:rsidTr="001C5C98">
        <w:trPr>
          <w:trHeight w:val="1151"/>
        </w:trPr>
        <w:tc>
          <w:tcPr>
            <w:tcW w:w="4225" w:type="dxa"/>
          </w:tcPr>
          <w:p w14:paraId="07D9EECC" w14:textId="77777777" w:rsidR="00014C76" w:rsidRDefault="00014C76" w:rsidP="00690FEE">
            <w:pPr>
              <w:autoSpaceDE w:val="0"/>
              <w:autoSpaceDN w:val="0"/>
              <w:adjustRightInd w:val="0"/>
              <w:ind w:left="163" w:hanging="180"/>
              <w:rPr>
                <w:rFonts w:ascii="Arial Narrow" w:eastAsiaTheme="minorHAnsi" w:hAnsi="Arial Narrow" w:cs="Source Sans Pro"/>
                <w:sz w:val="20"/>
                <w:szCs w:val="20"/>
              </w:rPr>
            </w:pPr>
            <w:r w:rsidRPr="00014C76">
              <w:rPr>
                <w:rFonts w:ascii="Arial Narrow" w:eastAsiaTheme="minorHAnsi" w:hAnsi="Arial Narrow" w:cs="Source Sans Pro"/>
                <w:sz w:val="20"/>
                <w:szCs w:val="20"/>
              </w:rPr>
              <w:t>4. The SEPAC has established procedures for reporting needs for the education of children with disabilities and making recommendations to the school board.</w:t>
            </w:r>
          </w:p>
        </w:tc>
        <w:tc>
          <w:tcPr>
            <w:tcW w:w="1350" w:type="dxa"/>
          </w:tcPr>
          <w:p w14:paraId="4EAAB1FE"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057B4BB9"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6614A1A4"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4089FB93"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08851EEE"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2940" w:type="dxa"/>
            <w:vMerge/>
          </w:tcPr>
          <w:p w14:paraId="760052D8" w14:textId="77777777" w:rsidR="00014C76" w:rsidRPr="00014C76" w:rsidRDefault="00014C76" w:rsidP="00014C76">
            <w:pPr>
              <w:autoSpaceDE w:val="0"/>
              <w:autoSpaceDN w:val="0"/>
              <w:adjustRightInd w:val="0"/>
              <w:rPr>
                <w:rFonts w:ascii="Arial Narrow" w:eastAsiaTheme="minorHAnsi" w:hAnsi="Arial Narrow" w:cs="Source Sans Pro"/>
                <w:sz w:val="20"/>
                <w:szCs w:val="20"/>
              </w:rPr>
            </w:pPr>
          </w:p>
        </w:tc>
      </w:tr>
      <w:tr w:rsidR="00014C76" w14:paraId="6ED1A064" w14:textId="77777777" w:rsidTr="001C5C98">
        <w:trPr>
          <w:trHeight w:val="1169"/>
        </w:trPr>
        <w:tc>
          <w:tcPr>
            <w:tcW w:w="4225" w:type="dxa"/>
          </w:tcPr>
          <w:p w14:paraId="46FE64A1" w14:textId="77777777" w:rsidR="00014C76" w:rsidRDefault="00014C76" w:rsidP="00690FEE">
            <w:pPr>
              <w:autoSpaceDE w:val="0"/>
              <w:autoSpaceDN w:val="0"/>
              <w:adjustRightInd w:val="0"/>
              <w:ind w:left="163" w:hanging="180"/>
              <w:rPr>
                <w:rFonts w:ascii="Arial Narrow" w:eastAsiaTheme="minorHAnsi" w:hAnsi="Arial Narrow" w:cs="Source Sans Pro"/>
                <w:sz w:val="20"/>
                <w:szCs w:val="20"/>
              </w:rPr>
            </w:pPr>
            <w:r w:rsidRPr="00014C76">
              <w:rPr>
                <w:rFonts w:ascii="Arial Narrow" w:eastAsiaTheme="minorHAnsi" w:hAnsi="Arial Narrow" w:cs="Source Sans Pro"/>
                <w:sz w:val="20"/>
                <w:szCs w:val="20"/>
              </w:rPr>
              <w:t>5. The SEPAC seeks diverse input in developing</w:t>
            </w:r>
            <w:r>
              <w:rPr>
                <w:rFonts w:ascii="Arial Narrow" w:eastAsiaTheme="minorHAnsi" w:hAnsi="Arial Narrow" w:cs="Source Sans Pro"/>
                <w:sz w:val="20"/>
                <w:szCs w:val="20"/>
              </w:rPr>
              <w:t xml:space="preserve"> </w:t>
            </w:r>
            <w:r w:rsidRPr="00014C76">
              <w:rPr>
                <w:rFonts w:ascii="Arial Narrow" w:eastAsiaTheme="minorHAnsi" w:hAnsi="Arial Narrow" w:cs="Source Sans Pro"/>
                <w:sz w:val="20"/>
                <w:szCs w:val="20"/>
              </w:rPr>
              <w:t>recommendations to the school board.</w:t>
            </w:r>
          </w:p>
        </w:tc>
        <w:tc>
          <w:tcPr>
            <w:tcW w:w="1350" w:type="dxa"/>
          </w:tcPr>
          <w:p w14:paraId="28674783"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1D2F29F5"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35696CC7"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287EE0CA"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26827EB3"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2940" w:type="dxa"/>
            <w:vMerge/>
          </w:tcPr>
          <w:p w14:paraId="77436048" w14:textId="77777777" w:rsidR="00014C76" w:rsidRPr="00014C76" w:rsidRDefault="00014C76" w:rsidP="00014C76">
            <w:pPr>
              <w:autoSpaceDE w:val="0"/>
              <w:autoSpaceDN w:val="0"/>
              <w:adjustRightInd w:val="0"/>
              <w:rPr>
                <w:rFonts w:ascii="Arial Narrow" w:eastAsiaTheme="minorHAnsi" w:hAnsi="Arial Narrow" w:cs="Source Sans Pro"/>
                <w:sz w:val="20"/>
                <w:szCs w:val="20"/>
              </w:rPr>
            </w:pPr>
          </w:p>
        </w:tc>
      </w:tr>
      <w:tr w:rsidR="00014C76" w14:paraId="16F78215" w14:textId="77777777" w:rsidTr="001C5C98">
        <w:trPr>
          <w:trHeight w:val="1331"/>
        </w:trPr>
        <w:tc>
          <w:tcPr>
            <w:tcW w:w="4225" w:type="dxa"/>
          </w:tcPr>
          <w:p w14:paraId="7B030E71" w14:textId="77777777" w:rsidR="00014C76" w:rsidRDefault="00014C76" w:rsidP="00690FEE">
            <w:pPr>
              <w:autoSpaceDE w:val="0"/>
              <w:autoSpaceDN w:val="0"/>
              <w:adjustRightInd w:val="0"/>
              <w:ind w:left="163" w:hanging="180"/>
              <w:rPr>
                <w:rFonts w:ascii="Arial Narrow" w:eastAsiaTheme="minorHAnsi" w:hAnsi="Arial Narrow" w:cs="Source Sans Pro"/>
                <w:sz w:val="20"/>
                <w:szCs w:val="20"/>
              </w:rPr>
            </w:pPr>
            <w:r w:rsidRPr="00014C76">
              <w:rPr>
                <w:rFonts w:ascii="Arial Narrow" w:eastAsiaTheme="minorHAnsi" w:hAnsi="Arial Narrow" w:cs="Source Sans Pro"/>
                <w:sz w:val="20"/>
                <w:szCs w:val="20"/>
              </w:rPr>
              <w:t>6. The SEPAC effectively outreaches to special education constituencies</w:t>
            </w:r>
            <w:r>
              <w:rPr>
                <w:rFonts w:ascii="Arial Narrow" w:eastAsiaTheme="minorHAnsi" w:hAnsi="Arial Narrow" w:cs="Source Sans Pro"/>
                <w:sz w:val="20"/>
                <w:szCs w:val="20"/>
              </w:rPr>
              <w:t>.</w:t>
            </w:r>
          </w:p>
        </w:tc>
        <w:tc>
          <w:tcPr>
            <w:tcW w:w="1350" w:type="dxa"/>
          </w:tcPr>
          <w:p w14:paraId="3F4DF777"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2D1B7828"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11DD6DE7"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76CDE273"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1350" w:type="dxa"/>
          </w:tcPr>
          <w:p w14:paraId="53754412" w14:textId="77777777" w:rsidR="00014C76" w:rsidRDefault="00014C76" w:rsidP="00014C76">
            <w:pPr>
              <w:autoSpaceDE w:val="0"/>
              <w:autoSpaceDN w:val="0"/>
              <w:adjustRightInd w:val="0"/>
              <w:rPr>
                <w:rFonts w:ascii="Arial Narrow" w:eastAsiaTheme="minorHAnsi" w:hAnsi="Arial Narrow" w:cs="Source Sans Pro"/>
                <w:sz w:val="20"/>
                <w:szCs w:val="20"/>
              </w:rPr>
            </w:pPr>
          </w:p>
        </w:tc>
        <w:tc>
          <w:tcPr>
            <w:tcW w:w="2940" w:type="dxa"/>
            <w:vMerge/>
          </w:tcPr>
          <w:p w14:paraId="54C14EC3" w14:textId="77777777" w:rsidR="00014C76" w:rsidRPr="00014C76" w:rsidRDefault="00014C76" w:rsidP="00014C76">
            <w:pPr>
              <w:autoSpaceDE w:val="0"/>
              <w:autoSpaceDN w:val="0"/>
              <w:adjustRightInd w:val="0"/>
              <w:rPr>
                <w:rFonts w:ascii="Arial Narrow" w:eastAsiaTheme="minorHAnsi" w:hAnsi="Arial Narrow" w:cs="Source Sans Pro"/>
                <w:sz w:val="20"/>
                <w:szCs w:val="20"/>
              </w:rPr>
            </w:pPr>
          </w:p>
        </w:tc>
      </w:tr>
    </w:tbl>
    <w:p w14:paraId="3046210B" w14:textId="77777777" w:rsidR="001C5C98" w:rsidRDefault="001C5C98" w:rsidP="001C5C98">
      <w:pPr>
        <w:autoSpaceDE w:val="0"/>
        <w:autoSpaceDN w:val="0"/>
        <w:adjustRightInd w:val="0"/>
        <w:jc w:val="right"/>
        <w:rPr>
          <w:rFonts w:ascii="Arial Narrow" w:eastAsiaTheme="minorHAnsi" w:hAnsi="Arial Narrow" w:cs="Source Sans Pro"/>
          <w:i/>
        </w:rPr>
      </w:pPr>
      <w:r w:rsidRPr="001C5C98">
        <w:rPr>
          <w:rFonts w:ascii="Arial Narrow" w:eastAsiaTheme="minorHAnsi" w:hAnsi="Arial Narrow" w:cs="Source Sans Pro"/>
          <w:i/>
        </w:rPr>
        <w:t>- continues</w:t>
      </w:r>
    </w:p>
    <w:p w14:paraId="0D6E6C6E" w14:textId="77777777" w:rsidR="001C5C98" w:rsidRDefault="001C5C98">
      <w:pPr>
        <w:rPr>
          <w:rFonts w:ascii="Arial Narrow" w:eastAsiaTheme="minorHAnsi" w:hAnsi="Arial Narrow" w:cs="Source Sans Pro"/>
          <w:i/>
        </w:rPr>
      </w:pPr>
      <w:r>
        <w:rPr>
          <w:rFonts w:ascii="Arial Narrow" w:eastAsiaTheme="minorHAnsi" w:hAnsi="Arial Narrow" w:cs="Source Sans Pro"/>
          <w:i/>
        </w:rPr>
        <w:br w:type="page"/>
      </w:r>
    </w:p>
    <w:p w14:paraId="60426BBC" w14:textId="77777777" w:rsidR="00014C76" w:rsidRDefault="00014C76" w:rsidP="001C5C98">
      <w:pPr>
        <w:autoSpaceDE w:val="0"/>
        <w:autoSpaceDN w:val="0"/>
        <w:adjustRightInd w:val="0"/>
        <w:rPr>
          <w:rFonts w:ascii="Arial Narrow" w:eastAsiaTheme="minorHAnsi" w:hAnsi="Arial Narrow" w:cs="Source Sans Pro"/>
          <w:i/>
        </w:rPr>
      </w:pPr>
    </w:p>
    <w:p w14:paraId="6F2BF8D7" w14:textId="6A8D8CFA" w:rsidR="001C5C98" w:rsidRDefault="001C5C98" w:rsidP="001C5C98">
      <w:pPr>
        <w:autoSpaceDE w:val="0"/>
        <w:autoSpaceDN w:val="0"/>
        <w:adjustRightInd w:val="0"/>
        <w:rPr>
          <w:rFonts w:ascii="Arial" w:eastAsiaTheme="minorHAnsi" w:hAnsi="Arial" w:cs="Arial"/>
          <w:sz w:val="28"/>
          <w:szCs w:val="28"/>
        </w:rPr>
      </w:pPr>
      <w:r>
        <w:rPr>
          <w:rFonts w:ascii="Arial" w:eastAsiaTheme="minorHAnsi" w:hAnsi="Arial" w:cs="Arial"/>
          <w:sz w:val="28"/>
          <w:szCs w:val="28"/>
        </w:rPr>
        <w:t>Sample SEPAC Self-Assessment</w:t>
      </w:r>
      <w:r w:rsidR="00585966">
        <w:rPr>
          <w:rFonts w:ascii="Arial" w:eastAsiaTheme="minorHAnsi" w:hAnsi="Arial" w:cs="Arial"/>
          <w:sz w:val="28"/>
          <w:szCs w:val="28"/>
        </w:rPr>
        <w:t xml:space="preserve"> </w:t>
      </w:r>
      <w:r w:rsidR="00585966" w:rsidRPr="00585966">
        <w:rPr>
          <w:rFonts w:ascii="Arial" w:eastAsiaTheme="minorHAnsi" w:hAnsi="Arial" w:cs="Arial"/>
          <w:i/>
          <w:sz w:val="28"/>
          <w:szCs w:val="28"/>
        </w:rPr>
        <w:t>(continued)</w:t>
      </w:r>
    </w:p>
    <w:p w14:paraId="04F63F61" w14:textId="77777777" w:rsidR="001C5C98" w:rsidRPr="00803421" w:rsidRDefault="001C5C98" w:rsidP="001C5C98">
      <w:pPr>
        <w:autoSpaceDE w:val="0"/>
        <w:autoSpaceDN w:val="0"/>
        <w:adjustRightInd w:val="0"/>
        <w:rPr>
          <w:rFonts w:ascii="Arial" w:eastAsiaTheme="minorHAnsi" w:hAnsi="Arial" w:cs="Arial"/>
          <w:sz w:val="20"/>
          <w:szCs w:val="20"/>
        </w:rPr>
      </w:pPr>
    </w:p>
    <w:p w14:paraId="75EA15AC" w14:textId="77777777" w:rsidR="001C5C98" w:rsidRDefault="001C5C98" w:rsidP="001C5C98">
      <w:pPr>
        <w:autoSpaceDE w:val="0"/>
        <w:autoSpaceDN w:val="0"/>
        <w:adjustRightInd w:val="0"/>
        <w:rPr>
          <w:rFonts w:ascii="Arial Narrow" w:eastAsiaTheme="minorHAnsi" w:hAnsi="Arial Narrow" w:cs="Source Sans Pro"/>
          <w:sz w:val="20"/>
          <w:szCs w:val="20"/>
        </w:rPr>
      </w:pPr>
      <w:r w:rsidRPr="00014C76">
        <w:rPr>
          <w:rFonts w:ascii="Arial Narrow" w:eastAsiaTheme="minorHAnsi" w:hAnsi="Arial Narrow" w:cs="Source Sans Pro"/>
          <w:sz w:val="20"/>
          <w:szCs w:val="20"/>
        </w:rPr>
        <w:t>The following form can be used by SEPAC members and the director of special education to get an impression of how well the SEPAC is doing. Each member and director of special education should complete the form about four weeks before the meeting at which the results will be reviewed. Ideally, a subcommittee of the SEPAC will receive the completed forms, collate the results, and write a report indicating the number of respondents who rated the SEPAC for each of the 12 considerations.</w:t>
      </w:r>
    </w:p>
    <w:p w14:paraId="304E527C" w14:textId="77777777" w:rsidR="001C5C98" w:rsidRPr="001C5C98" w:rsidRDefault="001C5C98" w:rsidP="001C5C98">
      <w:pPr>
        <w:autoSpaceDE w:val="0"/>
        <w:autoSpaceDN w:val="0"/>
        <w:adjustRightInd w:val="0"/>
        <w:rPr>
          <w:rFonts w:ascii="Arial Narrow" w:eastAsiaTheme="minorHAnsi" w:hAnsi="Arial Narrow" w:cs="Source Sans Pro"/>
          <w:sz w:val="20"/>
          <w:szCs w:val="20"/>
        </w:rPr>
      </w:pPr>
    </w:p>
    <w:tbl>
      <w:tblPr>
        <w:tblStyle w:val="TableGrid"/>
        <w:tblW w:w="0" w:type="auto"/>
        <w:tblLayout w:type="fixed"/>
        <w:tblLook w:val="04A0" w:firstRow="1" w:lastRow="0" w:firstColumn="1" w:lastColumn="0" w:noHBand="0" w:noVBand="1"/>
      </w:tblPr>
      <w:tblGrid>
        <w:gridCol w:w="4225"/>
        <w:gridCol w:w="1350"/>
        <w:gridCol w:w="1350"/>
        <w:gridCol w:w="1350"/>
        <w:gridCol w:w="1350"/>
        <w:gridCol w:w="1350"/>
        <w:gridCol w:w="2940"/>
      </w:tblGrid>
      <w:tr w:rsidR="001C5C98" w14:paraId="0A8EAC31" w14:textId="77777777" w:rsidTr="00EE4A94">
        <w:trPr>
          <w:trHeight w:val="899"/>
        </w:trPr>
        <w:tc>
          <w:tcPr>
            <w:tcW w:w="4225" w:type="dxa"/>
            <w:shd w:val="clear" w:color="auto" w:fill="D9D9D9" w:themeFill="background1" w:themeFillShade="D9"/>
            <w:vAlign w:val="center"/>
          </w:tcPr>
          <w:p w14:paraId="47BF2135" w14:textId="77777777" w:rsidR="001C5C98" w:rsidRDefault="001C5C98" w:rsidP="00EE4A94">
            <w:pPr>
              <w:autoSpaceDE w:val="0"/>
              <w:autoSpaceDN w:val="0"/>
              <w:adjustRightInd w:val="0"/>
              <w:jc w:val="center"/>
              <w:rPr>
                <w:rFonts w:ascii="Arial Narrow" w:eastAsiaTheme="minorHAnsi" w:hAnsi="Arial Narrow" w:cs="Source Sans Pro"/>
                <w:sz w:val="20"/>
                <w:szCs w:val="20"/>
              </w:rPr>
            </w:pPr>
            <w:r>
              <w:rPr>
                <w:rFonts w:ascii="Arial Narrow" w:eastAsiaTheme="minorHAnsi" w:hAnsi="Arial Narrow" w:cs="Source Sans Pro"/>
                <w:sz w:val="20"/>
                <w:szCs w:val="20"/>
              </w:rPr>
              <w:t>Considerations</w:t>
            </w:r>
          </w:p>
        </w:tc>
        <w:tc>
          <w:tcPr>
            <w:tcW w:w="1350" w:type="dxa"/>
            <w:shd w:val="clear" w:color="auto" w:fill="D9D9D9" w:themeFill="background1" w:themeFillShade="D9"/>
            <w:vAlign w:val="center"/>
          </w:tcPr>
          <w:p w14:paraId="0A69D702" w14:textId="77777777" w:rsidR="001C5C98" w:rsidRPr="00014C76" w:rsidRDefault="001C5C98" w:rsidP="00EE4A94">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5</w:t>
            </w:r>
          </w:p>
          <w:p w14:paraId="196A18A8" w14:textId="77777777" w:rsidR="001C5C98" w:rsidRPr="00014C76" w:rsidRDefault="001C5C98" w:rsidP="00EE4A94">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Strongly</w:t>
            </w:r>
          </w:p>
          <w:p w14:paraId="1640AFF6" w14:textId="77777777" w:rsidR="001C5C98" w:rsidRDefault="001C5C98" w:rsidP="00EE4A94">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Agree</w:t>
            </w:r>
          </w:p>
        </w:tc>
        <w:tc>
          <w:tcPr>
            <w:tcW w:w="1350" w:type="dxa"/>
            <w:shd w:val="clear" w:color="auto" w:fill="D9D9D9" w:themeFill="background1" w:themeFillShade="D9"/>
            <w:vAlign w:val="center"/>
          </w:tcPr>
          <w:p w14:paraId="4AAB3C6B" w14:textId="77777777" w:rsidR="001C5C98" w:rsidRPr="00014C76" w:rsidRDefault="001C5C98" w:rsidP="00EE4A94">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4</w:t>
            </w:r>
          </w:p>
          <w:p w14:paraId="2639BCB9" w14:textId="77777777" w:rsidR="001C5C98" w:rsidRDefault="001C5C98" w:rsidP="00EE4A94">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Agree</w:t>
            </w:r>
          </w:p>
        </w:tc>
        <w:tc>
          <w:tcPr>
            <w:tcW w:w="1350" w:type="dxa"/>
            <w:shd w:val="clear" w:color="auto" w:fill="D9D9D9" w:themeFill="background1" w:themeFillShade="D9"/>
            <w:vAlign w:val="center"/>
          </w:tcPr>
          <w:p w14:paraId="1009D59C" w14:textId="77777777" w:rsidR="001C5C98" w:rsidRPr="00014C76" w:rsidRDefault="001C5C98" w:rsidP="00EE4A94">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3</w:t>
            </w:r>
          </w:p>
          <w:p w14:paraId="64547153" w14:textId="77777777" w:rsidR="001C5C98" w:rsidRDefault="001C5C98" w:rsidP="00EE4A94">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Neutral</w:t>
            </w:r>
          </w:p>
        </w:tc>
        <w:tc>
          <w:tcPr>
            <w:tcW w:w="1350" w:type="dxa"/>
            <w:shd w:val="clear" w:color="auto" w:fill="D9D9D9" w:themeFill="background1" w:themeFillShade="D9"/>
            <w:vAlign w:val="center"/>
          </w:tcPr>
          <w:p w14:paraId="168C6B13" w14:textId="77777777" w:rsidR="001C5C98" w:rsidRPr="00014C76" w:rsidRDefault="001C5C98" w:rsidP="00EE4A94">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2</w:t>
            </w:r>
          </w:p>
          <w:p w14:paraId="23F47D4A" w14:textId="77777777" w:rsidR="001C5C98" w:rsidRDefault="001C5C98" w:rsidP="00EE4A94">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Disagree</w:t>
            </w:r>
          </w:p>
        </w:tc>
        <w:tc>
          <w:tcPr>
            <w:tcW w:w="1350" w:type="dxa"/>
            <w:shd w:val="clear" w:color="auto" w:fill="D9D9D9" w:themeFill="background1" w:themeFillShade="D9"/>
            <w:vAlign w:val="center"/>
          </w:tcPr>
          <w:p w14:paraId="75773B00" w14:textId="77777777" w:rsidR="001C5C98" w:rsidRPr="00014C76" w:rsidRDefault="001C5C98" w:rsidP="00EE4A94">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1</w:t>
            </w:r>
          </w:p>
          <w:p w14:paraId="7A1F54E6" w14:textId="77777777" w:rsidR="001C5C98" w:rsidRPr="00014C76" w:rsidRDefault="001C5C98" w:rsidP="00EE4A94">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Strongly</w:t>
            </w:r>
          </w:p>
          <w:p w14:paraId="1F08FCF5" w14:textId="77777777" w:rsidR="001C5C98" w:rsidRDefault="001C5C98" w:rsidP="00EE4A94">
            <w:pPr>
              <w:autoSpaceDE w:val="0"/>
              <w:autoSpaceDN w:val="0"/>
              <w:adjustRightInd w:val="0"/>
              <w:jc w:val="center"/>
              <w:rPr>
                <w:rFonts w:ascii="Arial Narrow" w:eastAsiaTheme="minorHAnsi" w:hAnsi="Arial Narrow" w:cs="Source Sans Pro"/>
                <w:sz w:val="20"/>
                <w:szCs w:val="20"/>
              </w:rPr>
            </w:pPr>
            <w:r w:rsidRPr="00014C76">
              <w:rPr>
                <w:rFonts w:ascii="Arial Narrow" w:eastAsiaTheme="minorHAnsi" w:hAnsi="Arial Narrow" w:cs="Source Sans Pro"/>
                <w:sz w:val="20"/>
                <w:szCs w:val="20"/>
              </w:rPr>
              <w:t>Disagree</w:t>
            </w:r>
          </w:p>
        </w:tc>
        <w:tc>
          <w:tcPr>
            <w:tcW w:w="2940" w:type="dxa"/>
            <w:vMerge w:val="restart"/>
          </w:tcPr>
          <w:p w14:paraId="36DD1128" w14:textId="77777777" w:rsidR="001C5C98" w:rsidRPr="00455A1A" w:rsidRDefault="001C5C98" w:rsidP="00EE4A94">
            <w:pPr>
              <w:pStyle w:val="Pa4"/>
              <w:spacing w:after="180"/>
              <w:rPr>
                <w:rFonts w:ascii="Arial Narrow" w:hAnsi="Arial Narrow" w:cs="Source Sans Pro"/>
                <w:sz w:val="20"/>
                <w:szCs w:val="20"/>
              </w:rPr>
            </w:pPr>
            <w:r w:rsidRPr="00455A1A">
              <w:rPr>
                <w:rStyle w:val="A4"/>
                <w:rFonts w:ascii="Arial Narrow" w:hAnsi="Arial Narrow"/>
                <w:color w:val="auto"/>
              </w:rPr>
              <w:t>From ‘A Guide for Local Special Education Advisory Committees in Virginia,’ © 2011. Used with permission from the Center for Family Involvement at the Partnership for People with Disabilities at the Virginia Commonwealth University. 804-828-3876. All rights reserved. http://www.doe.virginia.gov/boe/committees_advisory/special_ed/local_sped_advisory_committees/index.shtml</w:t>
            </w:r>
          </w:p>
          <w:p w14:paraId="59E7F050" w14:textId="77777777" w:rsidR="001C5C98" w:rsidRPr="00455A1A" w:rsidRDefault="001C5C98" w:rsidP="00EE4A94">
            <w:pPr>
              <w:autoSpaceDE w:val="0"/>
              <w:autoSpaceDN w:val="0"/>
              <w:adjustRightInd w:val="0"/>
              <w:rPr>
                <w:rStyle w:val="A5"/>
                <w:rFonts w:ascii="Arial Narrow" w:hAnsi="Arial Narrow"/>
                <w:color w:val="auto"/>
                <w:sz w:val="16"/>
                <w:szCs w:val="16"/>
              </w:rPr>
            </w:pPr>
          </w:p>
          <w:p w14:paraId="31FB2386" w14:textId="77777777" w:rsidR="001C5C98" w:rsidRPr="00014C76" w:rsidRDefault="001C5C98" w:rsidP="00EE4A94">
            <w:pPr>
              <w:autoSpaceDE w:val="0"/>
              <w:autoSpaceDN w:val="0"/>
              <w:adjustRightInd w:val="0"/>
              <w:rPr>
                <w:rFonts w:ascii="Arial Narrow" w:eastAsiaTheme="minorHAnsi" w:hAnsi="Arial Narrow" w:cs="Source Sans Pro"/>
                <w:sz w:val="20"/>
                <w:szCs w:val="20"/>
              </w:rPr>
            </w:pPr>
            <w:r w:rsidRPr="00455A1A">
              <w:rPr>
                <w:rStyle w:val="A5"/>
                <w:rFonts w:ascii="Arial Narrow" w:hAnsi="Arial Narrow"/>
                <w:color w:val="auto"/>
                <w:sz w:val="20"/>
                <w:szCs w:val="20"/>
              </w:rPr>
              <w:t>This page is excerpted from Advocacy in Action: A Guide to Local Special Education Parent Advisory Councils, produced under U.S. Department of Education, Office of Special Education Programs No. H328R130014 by Center for Parent Information and Resources. Permission to reprint this material is not necessary, however, the citation should be: Center for Parent Information and Resources (retrieval date). Advocacy in Action: A Guide to Local Special Education Parent Advisory Councils, Newark, NJ, Center for Parent Information &amp; Resources, 2019.</w:t>
            </w:r>
          </w:p>
        </w:tc>
      </w:tr>
      <w:tr w:rsidR="001C5C98" w14:paraId="0BF1F914" w14:textId="77777777" w:rsidTr="00EE4A94">
        <w:trPr>
          <w:trHeight w:val="971"/>
        </w:trPr>
        <w:tc>
          <w:tcPr>
            <w:tcW w:w="4225" w:type="dxa"/>
          </w:tcPr>
          <w:p w14:paraId="1E70857B" w14:textId="77777777" w:rsidR="001C5C98" w:rsidRDefault="001C5C98" w:rsidP="00690FEE">
            <w:pPr>
              <w:autoSpaceDE w:val="0"/>
              <w:autoSpaceDN w:val="0"/>
              <w:adjustRightInd w:val="0"/>
              <w:ind w:left="163" w:hanging="180"/>
              <w:rPr>
                <w:rFonts w:ascii="Arial Narrow" w:eastAsiaTheme="minorHAnsi" w:hAnsi="Arial Narrow" w:cs="Source Sans Pro"/>
                <w:sz w:val="20"/>
                <w:szCs w:val="20"/>
              </w:rPr>
            </w:pPr>
            <w:r w:rsidRPr="001C5C98">
              <w:rPr>
                <w:rFonts w:ascii="Arial Narrow" w:eastAsiaTheme="minorHAnsi" w:hAnsi="Arial Narrow" w:cs="Source Sans Pro"/>
                <w:sz w:val="20"/>
                <w:szCs w:val="20"/>
              </w:rPr>
              <w:t>7. SEPAC meetings facilitate focus and progress on important issues and matters.</w:t>
            </w:r>
          </w:p>
        </w:tc>
        <w:tc>
          <w:tcPr>
            <w:tcW w:w="1350" w:type="dxa"/>
          </w:tcPr>
          <w:p w14:paraId="5DBD8391"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4A6D413E"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5C6CD31E"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55EC1FCE"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5E8D0FFB"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2940" w:type="dxa"/>
            <w:vMerge/>
          </w:tcPr>
          <w:p w14:paraId="64AAEA78" w14:textId="77777777" w:rsidR="001C5C98" w:rsidRPr="00014C76" w:rsidRDefault="001C5C98" w:rsidP="00EE4A94">
            <w:pPr>
              <w:autoSpaceDE w:val="0"/>
              <w:autoSpaceDN w:val="0"/>
              <w:adjustRightInd w:val="0"/>
              <w:rPr>
                <w:rFonts w:ascii="Arial Narrow" w:eastAsiaTheme="minorHAnsi" w:hAnsi="Arial Narrow" w:cs="Source Sans Pro"/>
                <w:sz w:val="20"/>
                <w:szCs w:val="20"/>
              </w:rPr>
            </w:pPr>
          </w:p>
        </w:tc>
      </w:tr>
      <w:tr w:rsidR="001C5C98" w14:paraId="106EF476" w14:textId="77777777" w:rsidTr="00EE4A94">
        <w:trPr>
          <w:trHeight w:val="899"/>
        </w:trPr>
        <w:tc>
          <w:tcPr>
            <w:tcW w:w="4225" w:type="dxa"/>
          </w:tcPr>
          <w:p w14:paraId="5CED34ED" w14:textId="77777777" w:rsidR="001C5C98" w:rsidRDefault="001C5C98" w:rsidP="00690FEE">
            <w:pPr>
              <w:autoSpaceDE w:val="0"/>
              <w:autoSpaceDN w:val="0"/>
              <w:adjustRightInd w:val="0"/>
              <w:ind w:left="163" w:hanging="180"/>
              <w:rPr>
                <w:rFonts w:ascii="Arial Narrow" w:eastAsiaTheme="minorHAnsi" w:hAnsi="Arial Narrow" w:cs="Source Sans Pro"/>
                <w:sz w:val="20"/>
                <w:szCs w:val="20"/>
              </w:rPr>
            </w:pPr>
            <w:r w:rsidRPr="001C5C98">
              <w:rPr>
                <w:rFonts w:ascii="Arial Narrow" w:eastAsiaTheme="minorHAnsi" w:hAnsi="Arial Narrow" w:cs="Source Sans Pro"/>
                <w:sz w:val="20"/>
                <w:szCs w:val="20"/>
              </w:rPr>
              <w:t>8. The SEPAC receives regular reports on budgets, program performance, and other important matters.</w:t>
            </w:r>
          </w:p>
        </w:tc>
        <w:tc>
          <w:tcPr>
            <w:tcW w:w="1350" w:type="dxa"/>
          </w:tcPr>
          <w:p w14:paraId="13145EF0"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0F8AD3D0"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5BEC95FF"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1E4343C3"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158B4771"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2940" w:type="dxa"/>
            <w:vMerge/>
          </w:tcPr>
          <w:p w14:paraId="1B4064FD" w14:textId="77777777" w:rsidR="001C5C98" w:rsidRPr="00014C76" w:rsidRDefault="001C5C98" w:rsidP="00EE4A94">
            <w:pPr>
              <w:autoSpaceDE w:val="0"/>
              <w:autoSpaceDN w:val="0"/>
              <w:adjustRightInd w:val="0"/>
              <w:rPr>
                <w:rFonts w:ascii="Arial Narrow" w:eastAsiaTheme="minorHAnsi" w:hAnsi="Arial Narrow" w:cs="Source Sans Pro"/>
                <w:sz w:val="20"/>
                <w:szCs w:val="20"/>
              </w:rPr>
            </w:pPr>
          </w:p>
        </w:tc>
      </w:tr>
      <w:tr w:rsidR="001C5C98" w14:paraId="2EC7E979" w14:textId="77777777" w:rsidTr="00EE4A94">
        <w:trPr>
          <w:trHeight w:val="980"/>
        </w:trPr>
        <w:tc>
          <w:tcPr>
            <w:tcW w:w="4225" w:type="dxa"/>
          </w:tcPr>
          <w:p w14:paraId="0BA50F56" w14:textId="77777777" w:rsidR="001C5C98" w:rsidRDefault="001C5C98" w:rsidP="00690FEE">
            <w:pPr>
              <w:autoSpaceDE w:val="0"/>
              <w:autoSpaceDN w:val="0"/>
              <w:adjustRightInd w:val="0"/>
              <w:ind w:left="163" w:hanging="180"/>
              <w:rPr>
                <w:rFonts w:ascii="Arial Narrow" w:eastAsiaTheme="minorHAnsi" w:hAnsi="Arial Narrow" w:cs="Source Sans Pro"/>
                <w:sz w:val="20"/>
                <w:szCs w:val="20"/>
              </w:rPr>
            </w:pPr>
            <w:r w:rsidRPr="001C5C98">
              <w:rPr>
                <w:rFonts w:ascii="Arial Narrow" w:eastAsiaTheme="minorHAnsi" w:hAnsi="Arial Narrow" w:cs="Source Sans Pro"/>
                <w:sz w:val="20"/>
                <w:szCs w:val="20"/>
              </w:rPr>
              <w:t>9. The SEPAC regularly monitors and evaluates progress on priority issues.</w:t>
            </w:r>
          </w:p>
        </w:tc>
        <w:tc>
          <w:tcPr>
            <w:tcW w:w="1350" w:type="dxa"/>
          </w:tcPr>
          <w:p w14:paraId="564A201F"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74BF22D8"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63A8B3A6"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5A00D8D2"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6D8AD13E"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2940" w:type="dxa"/>
            <w:vMerge/>
          </w:tcPr>
          <w:p w14:paraId="018A3961" w14:textId="77777777" w:rsidR="001C5C98" w:rsidRPr="00014C76" w:rsidRDefault="001C5C98" w:rsidP="00EE4A94">
            <w:pPr>
              <w:autoSpaceDE w:val="0"/>
              <w:autoSpaceDN w:val="0"/>
              <w:adjustRightInd w:val="0"/>
              <w:rPr>
                <w:rFonts w:ascii="Arial Narrow" w:eastAsiaTheme="minorHAnsi" w:hAnsi="Arial Narrow" w:cs="Source Sans Pro"/>
                <w:sz w:val="20"/>
                <w:szCs w:val="20"/>
              </w:rPr>
            </w:pPr>
          </w:p>
        </w:tc>
      </w:tr>
      <w:tr w:rsidR="001C5C98" w14:paraId="3894CC11" w14:textId="77777777" w:rsidTr="00EE4A94">
        <w:trPr>
          <w:trHeight w:val="1151"/>
        </w:trPr>
        <w:tc>
          <w:tcPr>
            <w:tcW w:w="4225" w:type="dxa"/>
          </w:tcPr>
          <w:p w14:paraId="46549961" w14:textId="77777777" w:rsidR="001C5C98" w:rsidRDefault="001C5C98" w:rsidP="00690FEE">
            <w:pPr>
              <w:autoSpaceDE w:val="0"/>
              <w:autoSpaceDN w:val="0"/>
              <w:adjustRightInd w:val="0"/>
              <w:ind w:left="253" w:hanging="270"/>
              <w:rPr>
                <w:rFonts w:ascii="Arial Narrow" w:eastAsiaTheme="minorHAnsi" w:hAnsi="Arial Narrow" w:cs="Source Sans Pro"/>
                <w:sz w:val="20"/>
                <w:szCs w:val="20"/>
              </w:rPr>
            </w:pPr>
            <w:r w:rsidRPr="001C5C98">
              <w:rPr>
                <w:rFonts w:ascii="Arial Narrow" w:eastAsiaTheme="minorHAnsi" w:hAnsi="Arial Narrow" w:cs="Source Sans Pro"/>
                <w:sz w:val="20"/>
                <w:szCs w:val="20"/>
              </w:rPr>
              <w:t>10. All necessary skills and stakeholders are represented on the SEPAC.</w:t>
            </w:r>
          </w:p>
        </w:tc>
        <w:tc>
          <w:tcPr>
            <w:tcW w:w="1350" w:type="dxa"/>
          </w:tcPr>
          <w:p w14:paraId="368CFC16"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59AFB20E"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444EA9AA"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18CFABC9"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71FE0D5E"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2940" w:type="dxa"/>
            <w:vMerge/>
          </w:tcPr>
          <w:p w14:paraId="3A53B6B3" w14:textId="77777777" w:rsidR="001C5C98" w:rsidRPr="00014C76" w:rsidRDefault="001C5C98" w:rsidP="00EE4A94">
            <w:pPr>
              <w:autoSpaceDE w:val="0"/>
              <w:autoSpaceDN w:val="0"/>
              <w:adjustRightInd w:val="0"/>
              <w:rPr>
                <w:rFonts w:ascii="Arial Narrow" w:eastAsiaTheme="minorHAnsi" w:hAnsi="Arial Narrow" w:cs="Source Sans Pro"/>
                <w:sz w:val="20"/>
                <w:szCs w:val="20"/>
              </w:rPr>
            </w:pPr>
          </w:p>
        </w:tc>
      </w:tr>
      <w:tr w:rsidR="001C5C98" w14:paraId="1CFFF4F6" w14:textId="77777777" w:rsidTr="00EE4A94">
        <w:trPr>
          <w:trHeight w:val="1169"/>
        </w:trPr>
        <w:tc>
          <w:tcPr>
            <w:tcW w:w="4225" w:type="dxa"/>
          </w:tcPr>
          <w:p w14:paraId="3F657640" w14:textId="77777777" w:rsidR="001C5C98" w:rsidRDefault="001C5C98" w:rsidP="00690FEE">
            <w:pPr>
              <w:autoSpaceDE w:val="0"/>
              <w:autoSpaceDN w:val="0"/>
              <w:adjustRightInd w:val="0"/>
              <w:ind w:left="253" w:hanging="270"/>
              <w:rPr>
                <w:rFonts w:ascii="Arial Narrow" w:eastAsiaTheme="minorHAnsi" w:hAnsi="Arial Narrow" w:cs="Source Sans Pro"/>
                <w:sz w:val="20"/>
                <w:szCs w:val="20"/>
              </w:rPr>
            </w:pPr>
            <w:r w:rsidRPr="001C5C98">
              <w:rPr>
                <w:rFonts w:ascii="Arial Narrow" w:eastAsiaTheme="minorHAnsi" w:hAnsi="Arial Narrow" w:cs="Source Sans Pro"/>
                <w:sz w:val="20"/>
                <w:szCs w:val="20"/>
              </w:rPr>
              <w:t>11. The SEPAC conducts ongoing training for its members.</w:t>
            </w:r>
          </w:p>
        </w:tc>
        <w:tc>
          <w:tcPr>
            <w:tcW w:w="1350" w:type="dxa"/>
          </w:tcPr>
          <w:p w14:paraId="3276596E"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0151A52F"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343AB5D8"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4B5EFB08"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15D145E7"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2940" w:type="dxa"/>
            <w:vMerge/>
          </w:tcPr>
          <w:p w14:paraId="18735E93" w14:textId="77777777" w:rsidR="001C5C98" w:rsidRPr="00014C76" w:rsidRDefault="001C5C98" w:rsidP="00EE4A94">
            <w:pPr>
              <w:autoSpaceDE w:val="0"/>
              <w:autoSpaceDN w:val="0"/>
              <w:adjustRightInd w:val="0"/>
              <w:rPr>
                <w:rFonts w:ascii="Arial Narrow" w:eastAsiaTheme="minorHAnsi" w:hAnsi="Arial Narrow" w:cs="Source Sans Pro"/>
                <w:sz w:val="20"/>
                <w:szCs w:val="20"/>
              </w:rPr>
            </w:pPr>
          </w:p>
        </w:tc>
      </w:tr>
      <w:tr w:rsidR="001C5C98" w14:paraId="7F2E9BBE" w14:textId="77777777" w:rsidTr="00EE4A94">
        <w:trPr>
          <w:trHeight w:val="1331"/>
        </w:trPr>
        <w:tc>
          <w:tcPr>
            <w:tcW w:w="4225" w:type="dxa"/>
          </w:tcPr>
          <w:p w14:paraId="226546C1" w14:textId="77777777" w:rsidR="001C5C98" w:rsidRDefault="001C5C98" w:rsidP="00690FEE">
            <w:pPr>
              <w:autoSpaceDE w:val="0"/>
              <w:autoSpaceDN w:val="0"/>
              <w:adjustRightInd w:val="0"/>
              <w:ind w:left="253" w:hanging="253"/>
              <w:rPr>
                <w:rFonts w:ascii="Arial Narrow" w:eastAsiaTheme="minorHAnsi" w:hAnsi="Arial Narrow" w:cs="Source Sans Pro"/>
                <w:sz w:val="20"/>
                <w:szCs w:val="20"/>
              </w:rPr>
            </w:pPr>
            <w:r w:rsidRPr="001C5C98">
              <w:rPr>
                <w:rFonts w:ascii="Arial Narrow" w:eastAsiaTheme="minorHAnsi" w:hAnsi="Arial Narrow" w:cs="Source Sans Pro"/>
                <w:sz w:val="20"/>
                <w:szCs w:val="20"/>
              </w:rPr>
              <w:t>12. School board and division personnel are responsive to the work of the SEPAC.</w:t>
            </w:r>
          </w:p>
        </w:tc>
        <w:tc>
          <w:tcPr>
            <w:tcW w:w="1350" w:type="dxa"/>
          </w:tcPr>
          <w:p w14:paraId="2258153C"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28335E56"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55B6E447"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64606C3B"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1350" w:type="dxa"/>
          </w:tcPr>
          <w:p w14:paraId="6224F79C" w14:textId="77777777" w:rsidR="001C5C98" w:rsidRDefault="001C5C98" w:rsidP="00EE4A94">
            <w:pPr>
              <w:autoSpaceDE w:val="0"/>
              <w:autoSpaceDN w:val="0"/>
              <w:adjustRightInd w:val="0"/>
              <w:rPr>
                <w:rFonts w:ascii="Arial Narrow" w:eastAsiaTheme="minorHAnsi" w:hAnsi="Arial Narrow" w:cs="Source Sans Pro"/>
                <w:sz w:val="20"/>
                <w:szCs w:val="20"/>
              </w:rPr>
            </w:pPr>
          </w:p>
        </w:tc>
        <w:tc>
          <w:tcPr>
            <w:tcW w:w="2940" w:type="dxa"/>
            <w:vMerge/>
          </w:tcPr>
          <w:p w14:paraId="3F3C1641" w14:textId="77777777" w:rsidR="001C5C98" w:rsidRPr="00014C76" w:rsidRDefault="001C5C98" w:rsidP="00EE4A94">
            <w:pPr>
              <w:autoSpaceDE w:val="0"/>
              <w:autoSpaceDN w:val="0"/>
              <w:adjustRightInd w:val="0"/>
              <w:rPr>
                <w:rFonts w:ascii="Arial Narrow" w:eastAsiaTheme="minorHAnsi" w:hAnsi="Arial Narrow" w:cs="Source Sans Pro"/>
                <w:sz w:val="20"/>
                <w:szCs w:val="20"/>
              </w:rPr>
            </w:pPr>
          </w:p>
        </w:tc>
      </w:tr>
    </w:tbl>
    <w:p w14:paraId="3A19C9F3" w14:textId="77777777" w:rsidR="001C5C98" w:rsidRPr="00014C76" w:rsidRDefault="001C5C98" w:rsidP="001C5C98">
      <w:pPr>
        <w:autoSpaceDE w:val="0"/>
        <w:autoSpaceDN w:val="0"/>
        <w:adjustRightInd w:val="0"/>
        <w:rPr>
          <w:rFonts w:ascii="Arial Narrow" w:eastAsiaTheme="minorHAnsi" w:hAnsi="Arial Narrow" w:cs="Source Sans Pro"/>
          <w:sz w:val="20"/>
          <w:szCs w:val="20"/>
        </w:rPr>
      </w:pPr>
    </w:p>
    <w:sectPr w:rsidR="001C5C98" w:rsidRPr="00014C76" w:rsidSect="003806B1">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1008" w:right="907" w:bottom="1008" w:left="1008" w:header="9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8AC4" w14:textId="77777777" w:rsidR="00C00FA7" w:rsidRDefault="00C00FA7" w:rsidP="006F52DC">
      <w:r>
        <w:separator/>
      </w:r>
    </w:p>
  </w:endnote>
  <w:endnote w:type="continuationSeparator" w:id="0">
    <w:p w14:paraId="733DC9EA" w14:textId="77777777" w:rsidR="00C00FA7" w:rsidRDefault="00C00FA7" w:rsidP="006F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Source Sans Pro SemiBold">
    <w:charset w:val="4D"/>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9F9D" w14:textId="77777777" w:rsidR="00C33023" w:rsidRDefault="00C33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291C" w14:textId="29FCEB77" w:rsidR="006F52DC" w:rsidRPr="006F52DC" w:rsidRDefault="006F52DC" w:rsidP="006F52DC">
    <w:pPr>
      <w:pStyle w:val="Default"/>
      <w:rPr>
        <w:rFonts w:ascii="Arial" w:hAnsi="Arial" w:cs="Arial"/>
        <w:sz w:val="22"/>
        <w:szCs w:val="22"/>
      </w:rPr>
    </w:pPr>
    <w:r w:rsidRPr="006F52DC">
      <w:rPr>
        <w:rFonts w:ascii="Arial" w:hAnsi="Arial" w:cs="Arial"/>
        <w:sz w:val="22"/>
        <w:szCs w:val="22"/>
      </w:rPr>
      <w:t>Adv</w:t>
    </w:r>
    <w:r w:rsidR="00C33023">
      <w:rPr>
        <w:rFonts w:ascii="Arial" w:hAnsi="Arial" w:cs="Arial"/>
        <w:sz w:val="22"/>
        <w:szCs w:val="22"/>
      </w:rPr>
      <w:t>o</w:t>
    </w:r>
    <w:r w:rsidRPr="006F52DC">
      <w:rPr>
        <w:rFonts w:ascii="Arial" w:hAnsi="Arial" w:cs="Arial"/>
        <w:sz w:val="22"/>
        <w:szCs w:val="22"/>
      </w:rPr>
      <w:t>cacy in Action: A Guide to</w:t>
    </w:r>
    <w:r w:rsidRPr="006F52DC">
      <w:rPr>
        <w:rFonts w:ascii="Arial" w:hAnsi="Arial" w:cs="Arial"/>
        <w:b/>
        <w:color w:val="auto"/>
        <w:sz w:val="22"/>
        <w:szCs w:val="22"/>
      </w:rPr>
      <w:t xml:space="preserve"> </w:t>
    </w:r>
    <w:r w:rsidRPr="006F52DC">
      <w:rPr>
        <w:rStyle w:val="A1"/>
        <w:rFonts w:ascii="Arial" w:hAnsi="Arial" w:cs="Arial"/>
        <w:b w:val="0"/>
        <w:color w:val="auto"/>
        <w:sz w:val="22"/>
        <w:szCs w:val="22"/>
      </w:rPr>
      <w:t>Local Special Education Parent Advisory Councils</w:t>
    </w:r>
    <w:r>
      <w:rPr>
        <w:rStyle w:val="A1"/>
        <w:rFonts w:ascii="Arial" w:hAnsi="Arial" w:cs="Arial"/>
        <w:b w:val="0"/>
        <w:color w:val="auto"/>
        <w:sz w:val="22"/>
        <w:szCs w:val="22"/>
      </w:rPr>
      <w:t xml:space="preserve"> – Part III: Resources – form excerpts MSWord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721C" w14:textId="77777777" w:rsidR="00C33023" w:rsidRDefault="00C33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1A72B" w14:textId="77777777" w:rsidR="00C00FA7" w:rsidRDefault="00C00FA7" w:rsidP="006F52DC">
      <w:r>
        <w:separator/>
      </w:r>
    </w:p>
  </w:footnote>
  <w:footnote w:type="continuationSeparator" w:id="0">
    <w:p w14:paraId="420B7F30" w14:textId="77777777" w:rsidR="00C00FA7" w:rsidRDefault="00C00FA7" w:rsidP="006F5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A864" w14:textId="77777777" w:rsidR="00C33023" w:rsidRDefault="00C33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E0C8" w14:textId="77777777" w:rsidR="006F52DC" w:rsidRPr="006F52DC" w:rsidRDefault="006F52DC">
    <w:pPr>
      <w:pStyle w:val="Header"/>
      <w:rPr>
        <w:rFonts w:ascii="Arial" w:hAnsi="Arial" w:cs="Arial"/>
        <w:b/>
        <w:sz w:val="40"/>
      </w:rPr>
    </w:pPr>
    <w:r w:rsidRPr="006F52DC">
      <w:rPr>
        <w:rFonts w:ascii="Arial" w:hAnsi="Arial" w:cs="Arial"/>
        <w:b/>
        <w:sz w:val="40"/>
      </w:rPr>
      <w:t>TOOLS FOR CHANGE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9547" w14:textId="77777777" w:rsidR="00C33023" w:rsidRDefault="00C33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80A"/>
    <w:multiLevelType w:val="hybridMultilevel"/>
    <w:tmpl w:val="B994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0D52"/>
    <w:multiLevelType w:val="hybridMultilevel"/>
    <w:tmpl w:val="9012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E601D"/>
    <w:multiLevelType w:val="hybridMultilevel"/>
    <w:tmpl w:val="270E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71C1C"/>
    <w:multiLevelType w:val="hybridMultilevel"/>
    <w:tmpl w:val="3460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A403A"/>
    <w:multiLevelType w:val="hybridMultilevel"/>
    <w:tmpl w:val="6AF6D742"/>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15:restartNumberingAfterBreak="0">
    <w:nsid w:val="44095B60"/>
    <w:multiLevelType w:val="hybridMultilevel"/>
    <w:tmpl w:val="67E2DD12"/>
    <w:lvl w:ilvl="0" w:tplc="D79C3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1224B"/>
    <w:multiLevelType w:val="hybridMultilevel"/>
    <w:tmpl w:val="9D4A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F367F"/>
    <w:multiLevelType w:val="hybridMultilevel"/>
    <w:tmpl w:val="BCFC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C6379"/>
    <w:multiLevelType w:val="hybridMultilevel"/>
    <w:tmpl w:val="131A4A84"/>
    <w:lvl w:ilvl="0" w:tplc="A92CA8B8">
      <w:start w:val="5"/>
      <w:numFmt w:val="bullet"/>
      <w:lvlText w:val="-"/>
      <w:lvlJc w:val="left"/>
      <w:pPr>
        <w:ind w:left="420" w:hanging="360"/>
      </w:pPr>
      <w:rPr>
        <w:rFonts w:ascii="Arial Narrow" w:eastAsiaTheme="minorHAnsi" w:hAnsi="Arial Narrow" w:cs="Source Sans Pro"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908565359">
    <w:abstractNumId w:val="5"/>
  </w:num>
  <w:num w:numId="2" w16cid:durableId="1158109279">
    <w:abstractNumId w:val="8"/>
  </w:num>
  <w:num w:numId="3" w16cid:durableId="1460799931">
    <w:abstractNumId w:val="3"/>
  </w:num>
  <w:num w:numId="4" w16cid:durableId="1014646098">
    <w:abstractNumId w:val="2"/>
  </w:num>
  <w:num w:numId="5" w16cid:durableId="1067260023">
    <w:abstractNumId w:val="4"/>
  </w:num>
  <w:num w:numId="6" w16cid:durableId="1580557649">
    <w:abstractNumId w:val="0"/>
  </w:num>
  <w:num w:numId="7" w16cid:durableId="1375157669">
    <w:abstractNumId w:val="6"/>
  </w:num>
  <w:num w:numId="8" w16cid:durableId="1693145769">
    <w:abstractNumId w:val="1"/>
  </w:num>
  <w:num w:numId="9" w16cid:durableId="10352753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DC"/>
    <w:rsid w:val="00014C76"/>
    <w:rsid w:val="000672A2"/>
    <w:rsid w:val="00071B36"/>
    <w:rsid w:val="000822B3"/>
    <w:rsid w:val="00083D9C"/>
    <w:rsid w:val="00171CF7"/>
    <w:rsid w:val="00195418"/>
    <w:rsid w:val="001C030E"/>
    <w:rsid w:val="001C5C98"/>
    <w:rsid w:val="002066BD"/>
    <w:rsid w:val="002432AD"/>
    <w:rsid w:val="002A5BA2"/>
    <w:rsid w:val="003806B1"/>
    <w:rsid w:val="00455A1A"/>
    <w:rsid w:val="004B5044"/>
    <w:rsid w:val="00572CC4"/>
    <w:rsid w:val="00585966"/>
    <w:rsid w:val="00690FEE"/>
    <w:rsid w:val="006B0D26"/>
    <w:rsid w:val="006F52DC"/>
    <w:rsid w:val="007F4294"/>
    <w:rsid w:val="00803421"/>
    <w:rsid w:val="00803CF4"/>
    <w:rsid w:val="00805882"/>
    <w:rsid w:val="0086590F"/>
    <w:rsid w:val="008D122F"/>
    <w:rsid w:val="009A6876"/>
    <w:rsid w:val="00A17D9E"/>
    <w:rsid w:val="00B044DF"/>
    <w:rsid w:val="00B64319"/>
    <w:rsid w:val="00C00FA7"/>
    <w:rsid w:val="00C33023"/>
    <w:rsid w:val="00D24C84"/>
    <w:rsid w:val="00D3082C"/>
    <w:rsid w:val="00E37649"/>
    <w:rsid w:val="00EC39B3"/>
    <w:rsid w:val="00ED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416A"/>
  <w15:chartTrackingRefBased/>
  <w15:docId w15:val="{C4B526D4-832E-BE4B-B224-0DB6A0C0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BA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2DC"/>
    <w:pPr>
      <w:tabs>
        <w:tab w:val="center" w:pos="4680"/>
        <w:tab w:val="right" w:pos="9360"/>
      </w:tabs>
    </w:pPr>
  </w:style>
  <w:style w:type="character" w:customStyle="1" w:styleId="HeaderChar">
    <w:name w:val="Header Char"/>
    <w:basedOn w:val="DefaultParagraphFont"/>
    <w:link w:val="Header"/>
    <w:uiPriority w:val="99"/>
    <w:rsid w:val="006F52DC"/>
    <w:rPr>
      <w:rFonts w:eastAsiaTheme="minorEastAsia"/>
    </w:rPr>
  </w:style>
  <w:style w:type="paragraph" w:styleId="Footer">
    <w:name w:val="footer"/>
    <w:basedOn w:val="Normal"/>
    <w:link w:val="FooterChar"/>
    <w:uiPriority w:val="99"/>
    <w:unhideWhenUsed/>
    <w:rsid w:val="006F52DC"/>
    <w:pPr>
      <w:tabs>
        <w:tab w:val="center" w:pos="4680"/>
        <w:tab w:val="right" w:pos="9360"/>
      </w:tabs>
    </w:pPr>
  </w:style>
  <w:style w:type="character" w:customStyle="1" w:styleId="FooterChar">
    <w:name w:val="Footer Char"/>
    <w:basedOn w:val="DefaultParagraphFont"/>
    <w:link w:val="Footer"/>
    <w:uiPriority w:val="99"/>
    <w:rsid w:val="006F52DC"/>
    <w:rPr>
      <w:rFonts w:eastAsiaTheme="minorEastAsia"/>
    </w:rPr>
  </w:style>
  <w:style w:type="paragraph" w:customStyle="1" w:styleId="Default">
    <w:name w:val="Default"/>
    <w:rsid w:val="006F52DC"/>
    <w:pPr>
      <w:autoSpaceDE w:val="0"/>
      <w:autoSpaceDN w:val="0"/>
      <w:adjustRightInd w:val="0"/>
    </w:pPr>
    <w:rPr>
      <w:rFonts w:ascii="Source Sans Pro SemiBold" w:hAnsi="Source Sans Pro SemiBold" w:cs="Source Sans Pro SemiBold"/>
      <w:color w:val="000000"/>
    </w:rPr>
  </w:style>
  <w:style w:type="character" w:customStyle="1" w:styleId="A1">
    <w:name w:val="A1"/>
    <w:uiPriority w:val="99"/>
    <w:rsid w:val="006F52DC"/>
    <w:rPr>
      <w:rFonts w:cs="Source Sans Pro SemiBold"/>
      <w:b/>
      <w:bCs/>
      <w:color w:val="FFFFFF"/>
      <w:sz w:val="60"/>
      <w:szCs w:val="60"/>
    </w:rPr>
  </w:style>
  <w:style w:type="paragraph" w:customStyle="1" w:styleId="Pa1">
    <w:name w:val="Pa1"/>
    <w:basedOn w:val="Default"/>
    <w:next w:val="Default"/>
    <w:uiPriority w:val="99"/>
    <w:rsid w:val="006F52DC"/>
    <w:pPr>
      <w:spacing w:line="241" w:lineRule="atLeast"/>
    </w:pPr>
    <w:rPr>
      <w:rFonts w:ascii="Source Sans Pro" w:hAnsi="Source Sans Pro" w:cstheme="minorBidi"/>
      <w:color w:val="auto"/>
    </w:rPr>
  </w:style>
  <w:style w:type="paragraph" w:styleId="ListParagraph">
    <w:name w:val="List Paragraph"/>
    <w:basedOn w:val="Normal"/>
    <w:uiPriority w:val="34"/>
    <w:qFormat/>
    <w:rsid w:val="006F52DC"/>
    <w:pPr>
      <w:ind w:left="720"/>
      <w:contextualSpacing/>
    </w:pPr>
  </w:style>
  <w:style w:type="paragraph" w:customStyle="1" w:styleId="Pa2">
    <w:name w:val="Pa2"/>
    <w:basedOn w:val="Default"/>
    <w:next w:val="Default"/>
    <w:uiPriority w:val="99"/>
    <w:rsid w:val="00071B36"/>
    <w:pPr>
      <w:spacing w:line="241" w:lineRule="atLeast"/>
    </w:pPr>
    <w:rPr>
      <w:rFonts w:ascii="Source Sans Pro" w:hAnsi="Source Sans Pro" w:cstheme="minorBidi"/>
      <w:color w:val="auto"/>
    </w:rPr>
  </w:style>
  <w:style w:type="character" w:customStyle="1" w:styleId="A4">
    <w:name w:val="A4"/>
    <w:uiPriority w:val="99"/>
    <w:rsid w:val="00071B36"/>
    <w:rPr>
      <w:rFonts w:cs="Source Sans Pro"/>
      <w:color w:val="004770"/>
      <w:sz w:val="20"/>
      <w:szCs w:val="20"/>
    </w:rPr>
  </w:style>
  <w:style w:type="table" w:styleId="TableGrid">
    <w:name w:val="Table Grid"/>
    <w:basedOn w:val="TableNormal"/>
    <w:uiPriority w:val="39"/>
    <w:rsid w:val="00071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071B36"/>
    <w:pPr>
      <w:spacing w:line="241" w:lineRule="atLeast"/>
    </w:pPr>
    <w:rPr>
      <w:rFonts w:ascii="Source Sans Pro" w:hAnsi="Source Sans Pro" w:cstheme="minorBidi"/>
      <w:color w:val="auto"/>
    </w:rPr>
  </w:style>
  <w:style w:type="character" w:styleId="Hyperlink">
    <w:name w:val="Hyperlink"/>
    <w:basedOn w:val="DefaultParagraphFont"/>
    <w:uiPriority w:val="99"/>
    <w:unhideWhenUsed/>
    <w:rsid w:val="00803421"/>
    <w:rPr>
      <w:color w:val="0563C1" w:themeColor="hyperlink"/>
      <w:u w:val="single"/>
    </w:rPr>
  </w:style>
  <w:style w:type="character" w:styleId="UnresolvedMention">
    <w:name w:val="Unresolved Mention"/>
    <w:basedOn w:val="DefaultParagraphFont"/>
    <w:uiPriority w:val="99"/>
    <w:semiHidden/>
    <w:unhideWhenUsed/>
    <w:rsid w:val="00803421"/>
    <w:rPr>
      <w:color w:val="605E5C"/>
      <w:shd w:val="clear" w:color="auto" w:fill="E1DFDD"/>
    </w:rPr>
  </w:style>
  <w:style w:type="character" w:customStyle="1" w:styleId="A2">
    <w:name w:val="A2"/>
    <w:uiPriority w:val="99"/>
    <w:rsid w:val="00A17D9E"/>
    <w:rPr>
      <w:rFonts w:cs="Source Sans Pro"/>
      <w:i/>
      <w:iCs/>
      <w:color w:val="004770"/>
    </w:rPr>
  </w:style>
  <w:style w:type="paragraph" w:customStyle="1" w:styleId="Pa4">
    <w:name w:val="Pa4"/>
    <w:basedOn w:val="Default"/>
    <w:next w:val="Default"/>
    <w:uiPriority w:val="99"/>
    <w:rsid w:val="00014C76"/>
    <w:pPr>
      <w:spacing w:line="241" w:lineRule="atLeast"/>
    </w:pPr>
    <w:rPr>
      <w:rFonts w:ascii="Source Sans Pro" w:hAnsi="Source Sans Pro" w:cstheme="minorBidi"/>
      <w:color w:val="auto"/>
    </w:rPr>
  </w:style>
  <w:style w:type="character" w:customStyle="1" w:styleId="A5">
    <w:name w:val="A5"/>
    <w:uiPriority w:val="99"/>
    <w:rsid w:val="00014C76"/>
    <w:rPr>
      <w:rFonts w:cs="Source Sans Pro"/>
      <w:color w:val="004770"/>
      <w:sz w:val="18"/>
      <w:szCs w:val="18"/>
    </w:rPr>
  </w:style>
  <w:style w:type="paragraph" w:customStyle="1" w:styleId="Pa8">
    <w:name w:val="Pa8"/>
    <w:basedOn w:val="Default"/>
    <w:next w:val="Default"/>
    <w:uiPriority w:val="99"/>
    <w:rsid w:val="002A5BA2"/>
    <w:pPr>
      <w:spacing w:line="241" w:lineRule="atLeast"/>
    </w:pPr>
    <w:rPr>
      <w:rFonts w:ascii="Source Sans Pro" w:hAnsi="Source Sans Pro" w:cstheme="minorBidi"/>
      <w:color w:val="auto"/>
    </w:rPr>
  </w:style>
  <w:style w:type="paragraph" w:customStyle="1" w:styleId="Pa10">
    <w:name w:val="Pa10"/>
    <w:basedOn w:val="Default"/>
    <w:next w:val="Default"/>
    <w:uiPriority w:val="99"/>
    <w:rsid w:val="001C030E"/>
    <w:pPr>
      <w:spacing w:line="241" w:lineRule="atLeast"/>
    </w:pPr>
    <w:rPr>
      <w:rFonts w:ascii="Source Sans Pro" w:hAnsi="Source Sans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Leslie</dc:creator>
  <cp:keywords/>
  <dc:description/>
  <cp:lastModifiedBy>Leslie Leslie</cp:lastModifiedBy>
  <cp:revision>2</cp:revision>
  <dcterms:created xsi:type="dcterms:W3CDTF">2023-07-11T16:19:00Z</dcterms:created>
  <dcterms:modified xsi:type="dcterms:W3CDTF">2023-07-11T16:19:00Z</dcterms:modified>
  <cp:category/>
</cp:coreProperties>
</file>